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2022年工程造价咨询企业随机抽查情况汇总表</w:t>
      </w:r>
    </w:p>
    <w:p>
      <w:pPr>
        <w:spacing w:line="560" w:lineRule="exact"/>
        <w:ind w:left="1943" w:leftChars="925" w:firstLine="940" w:firstLineChars="300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pacing w:val="-4"/>
          <w:sz w:val="32"/>
          <w:szCs w:val="32"/>
        </w:rPr>
        <w:t>（有成果文件企业）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80" w:tblpY="545"/>
        <w:tblOverlap w:val="never"/>
        <w:tblW w:w="86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7"/>
        <w:gridCol w:w="1215"/>
        <w:gridCol w:w="100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企业注册地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抽查结果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南阳市城建工程造价咨询有限公司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方升国际工程咨询有限公司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河南融基建设工程咨询有限公司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中誉恒信工程咨询有限公司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郑州泛华国建工程管理有限公司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北京泛华国金工程咨询有限公司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中益工程管理有限公司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河南大明建设工程管理有限公司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河南兴达工程咨询有限公司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拓鸿建设管理有限公司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河南骅星工程造价咨询有限公司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中和中基工程管理有限公司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河南国审工程咨询有限公司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卓信工程咨询有限公司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河南汇成造价师事务所有限公司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新恒丰咨询集团有限公司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河南容盛工程造价咨询有限公司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建银工程咨询有限责任公司河南分公司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河南国智工程管理有限公司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中科天一工程管理有限公司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中招国诚项目管理有限公司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河南大陆工程管理咨询有限公司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中发祥和工程管理有限公司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河南世通工程造价咨询有限公司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恒信咨询管理有限公司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河南中健韬工程项目管理咨询有限公司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兴华工程管理有限公司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河南省宝龙工程造价咨询有限公司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河南开元工程技术咨询有限公司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郑州浩然工程管理咨询有限公司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青岛佳恒工程造价咨询有限公司河南分公司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中建联勘测规划设计有限公司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河南安厦工程管理有限公司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驻马店市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河南汴财工程管理服务有限公司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河南硕华工程造价咨询事务所有限公司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河南三众工程造价咨询有限公司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河南安信工程造价咨询有限公司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河南常燊工程管理有限责任公司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河南建标工程管理有限公司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中基建安工程管理有限公司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河南天易工程咨询有限公司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中审工程咨询有限公司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洛阳敬业工程造价咨询有限公司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中恒工程咨询有限公司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河南科达工程管理有限公司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荣泰工程管理咨询有限公司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开大工程咨询有限公司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河南省城乡规划设计研究总院股份有限公司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驰远工程管理有限公司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万汇工程咨询有限公司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河南省通力建设工程咨询有限公司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河南瑞和全过程项目咨询管理有限公司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河南正永工程咨询有限公司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河南省建筑科学研究院有限公司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河南大象建设监理咨询有限公司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中色科技股份有限公司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河南韶阳工程管理有限公司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河南建诚工程造价咨询有限责任公司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北京诚和工程造价事务所有限公司河南分公司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河南万臻工程造价咨询有限公司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河南省华汇建设工程咨询有限公司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河南中之安工程咨询有限公司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中石化中原石油工程设计有限公司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中鼎景宏工程管理有限公司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北京天达中远建设工程招投标咨询有限公司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河南巨中元工程造价咨询有限公司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河南省建筑设计研究院有限公司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中衍郑州工程设计研究院有限公司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河南诚工工程建设监理有限责任公司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河南省豫华价格事务所有限公司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安阳市市政设计研究院有限责任公司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F2F6FFA"/>
    <w:rsid w:val="2F2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2023-05-04T04:24:00Z</dcterms:created>
  <dc:creator>Cathy</dc:creator>
  <cp:lastModifiedBy>Cathy</cp:lastModifiedBy>
  <dcterms:modified xsi:type="dcterms:W3CDTF">2023-05-04T04:26:32Z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5FB6C75D387340F58656533E692AF00B</vt:lpwstr>
  </property>
</Properties>
</file>