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6E1AF">
      <w:pPr>
        <w:pStyle w:val="11"/>
        <w:ind w:left="0" w:leftChars="0" w:firstLine="0" w:firstLineChars="0"/>
        <w:rPr>
          <w:rFonts w:hint="eastAsia" w:ascii="Times New Roman" w:hAnsi="Times New Roman" w:eastAsia="方正仿宋_GB2312" w:cs="方正仿宋_GB2312"/>
          <w:color w:val="333333"/>
          <w:sz w:val="32"/>
          <w:szCs w:val="32"/>
          <w:lang w:eastAsia="zh-CN"/>
        </w:rPr>
      </w:pPr>
      <mc:AlternateContent>
        <mc:Choice Requires="wpsCustomData">
          <wpsCustomData:docfieldStart id="0" docfieldname="附件_1" hidden="0" print="1" readonly="0" index="4"/>
        </mc:Choice>
      </mc:AlternateContent>
      <w:r>
        <w:rPr>
          <w:rFonts w:ascii="Times New Roman" w:hAnsi="Times New Roman" w:eastAsia="方正仿宋_GB2312" w:cs="方正仿宋_GB2312"/>
          <w:color w:val="333333"/>
          <w:sz w:val="32"/>
          <w:szCs w:val="32"/>
        </w:rPr>
        <w:t>附件2</w:t>
      </w:r>
      <mc:AlternateContent>
        <mc:Choice Requires="wpsCustomData">
          <wpsCustomData:docfieldEnd id="0"/>
        </mc:Choice>
      </mc:AlternateContent>
      <w:bookmarkStart w:id="2" w:name="_GoBack"/>
      <w:bookmarkEnd w:id="2"/>
    </w:p>
    <w:p w14:paraId="5CC6BF77">
      <w:pPr>
        <w:pStyle w:val="15"/>
      </w:pPr>
      <mc:AlternateContent>
        <mc:Choice Requires="wpsCustomData">
          <wpsCustomData:docfieldStart id="1" docfieldname="FJ_1" hidden="0" print="1" readonly="0" index="2"/>
        </mc:Choice>
      </mc:AlternateContent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创新案例</w:t>
      </w:r>
      <w:r>
        <w:rPr>
          <w:rFonts w:hint="eastAsia" w:cs="方正小标宋简体"/>
          <w:sz w:val="36"/>
          <w:szCs w:val="36"/>
          <w:lang w:val="en-US" w:eastAsia="zh-CN"/>
        </w:rPr>
        <w:t>相关</w:t>
      </w:r>
      <w:r>
        <w:rPr>
          <w:sz w:val="36"/>
          <w:szCs w:val="36"/>
        </w:rPr>
        <w:t>要求</w:t>
      </w:r>
      <mc:AlternateContent>
        <mc:Choice Requires="wpsCustomData">
          <wpsCustomData:docfieldEnd id="1"/>
        </mc:Choice>
      </mc:AlternateContent>
    </w:p>
    <w:p w14:paraId="0E04477E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b w:val="0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一、</w:t>
      </w:r>
      <w:r>
        <w:rPr>
          <w:sz w:val="28"/>
          <w:szCs w:val="28"/>
        </w:rPr>
        <w:t>企业要求</w:t>
      </w:r>
    </w:p>
    <w:p w14:paraId="24812CAF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eastAsia="zh-CN"/>
        </w:rPr>
        <w:t>填报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单位应为依法注册的工程勘察设计企业，同时满足以下基础条件与创新导向条件。</w:t>
      </w:r>
    </w:p>
    <w:p w14:paraId="608BC01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333333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333333"/>
          <w:sz w:val="28"/>
          <w:szCs w:val="28"/>
          <w:lang w:eastAsia="zh-CN"/>
        </w:rPr>
        <w:t>1.</w:t>
      </w:r>
      <w:r>
        <w:rPr>
          <w:rFonts w:hint="default" w:ascii="Times New Roman" w:hAnsi="Times New Roman" w:eastAsia="仿宋_GB2312" w:cs="Times New Roman"/>
          <w:color w:val="333333"/>
          <w:spacing w:val="-6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33333"/>
          <w:sz w:val="28"/>
          <w:szCs w:val="28"/>
        </w:rPr>
        <w:t>企业注册成立满1年，具有与主营业务相对应的工程勘察或工程设计资质；</w:t>
      </w:r>
    </w:p>
    <w:p w14:paraId="1370442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333333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333333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color w:val="333333"/>
          <w:spacing w:val="-6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33333"/>
          <w:sz w:val="28"/>
          <w:szCs w:val="28"/>
        </w:rPr>
        <w:t>近1年内未发生重大安全、质量事故或严重环境违法行为，未被列入经营异常名录或严重失信主体名单；</w:t>
      </w:r>
    </w:p>
    <w:p w14:paraId="6747764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eastAsia" w:ascii="仿宋_GB2312" w:hAnsi="仿宋_GB2312" w:eastAsia="仿宋_GB2312" w:cs="仿宋_GB2312"/>
          <w:b w:val="0"/>
          <w:color w:val="333333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333333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color w:val="333333"/>
          <w:spacing w:val="-6"/>
          <w:sz w:val="28"/>
          <w:szCs w:val="28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333333"/>
          <w:spacing w:val="-6"/>
          <w:sz w:val="28"/>
          <w:szCs w:val="28"/>
          <w:lang w:val="en-US" w:eastAsia="zh-CN"/>
        </w:rPr>
        <w:t>填</w:t>
      </w:r>
      <w:r>
        <w:rPr>
          <w:rFonts w:hint="default" w:ascii="Times New Roman" w:hAnsi="Times New Roman" w:eastAsia="仿宋_GB2312" w:cs="Times New Roman"/>
          <w:color w:val="333333"/>
          <w:sz w:val="28"/>
          <w:szCs w:val="28"/>
        </w:rPr>
        <w:t>报案例权属清晰，无知识产权纠纷。</w:t>
      </w:r>
    </w:p>
    <w:p w14:paraId="484F91AB"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/>
          <w:sz w:val="28"/>
          <w:szCs w:val="28"/>
          <w:lang w:eastAsia="zh-CN"/>
        </w:rPr>
      </w:pPr>
      <w:r>
        <w:rPr>
          <w:rFonts w:hint="default"/>
          <w:sz w:val="28"/>
          <w:szCs w:val="28"/>
          <w:lang w:eastAsia="zh-CN"/>
        </w:rPr>
        <w:t>二、案例内容要求</w:t>
      </w:r>
    </w:p>
    <w:p w14:paraId="367E4755">
      <w:pPr>
        <w:pStyle w:val="3"/>
        <w:pageBreakBefore w:val="0"/>
        <w:numPr>
          <w:ilvl w:val="0"/>
          <w:numId w:val="0"/>
        </w:numPr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（一）</w:t>
      </w:r>
      <w:r>
        <w:rPr>
          <w:rFonts w:hint="eastAsia" w:ascii="楷体" w:hAnsi="楷体" w:eastAsia="楷体" w:cs="楷体"/>
          <w:b/>
          <w:bCs/>
          <w:sz w:val="28"/>
          <w:szCs w:val="28"/>
        </w:rPr>
        <w:t>科技创新应用类</w:t>
      </w:r>
    </w:p>
    <w:p w14:paraId="23EB4291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聚焦技术在工程项目中的落地应用成效，突出技术创新性与项目价值贡献，下设4个细分方向。</w:t>
      </w:r>
    </w:p>
    <w:p w14:paraId="40DDC686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核心技术创新</w:t>
      </w:r>
    </w:p>
    <w:p w14:paraId="4D36F956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针对行业重大痛点、复杂工况或“卡脖子”问题</w:t>
      </w:r>
      <w:r>
        <w:rPr>
          <w:rFonts w:hint="default" w:ascii="Times New Roman" w:hAnsi="Times New Roman" w:eastAsia="仿宋_GB2312" w:cs="Times New Roman"/>
          <w:color w:val="000000" w:themeColor="text1"/>
          <w:spacing wpsCustomData:val="-6" w:val="2"/>
          <w:sz w:val="28"/>
          <w:szCs w:val="28"/>
          <w14:textFill>
            <w14:solidFill>
              <w14:schemeClr w14:val="tx1"/>
            </w14:solidFill>
          </w14:textFill>
        </w:rPr>
        <w:t>，形成自主原创、填补行业空白的核心技术，实现工程效</w:t>
      </w:r>
      <w:r>
        <w:rPr>
          <w:rFonts w:hint="default" w:ascii="Times New Roman" w:hAnsi="Times New Roman" w:eastAsia="仿宋_GB2312" w:cs="Times New Roman"/>
          <w:color w:val="000000" w:themeColor="text1"/>
          <w:spacing wpsCustomData:val="-6" w:val="-6"/>
          <w:sz w:val="28"/>
          <w:szCs w:val="28"/>
          <w14:textFill>
            <w14:solidFill>
              <w14:schemeClr w14:val="tx1"/>
            </w14:solidFill>
          </w14:textFill>
        </w:rPr>
        <w:t>能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突破。</w:t>
      </w:r>
    </w:p>
    <w:p w14:paraId="6D15C29E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 w14:paraId="26C995EB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技术权属：核心技术为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填报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单位自主研发，拥有至少1项发明专利授权，或通过省部级及以上科技成果鉴定，技术水平达到国内领先及以上；</w:t>
      </w:r>
    </w:p>
    <w:p w14:paraId="1AFC0D17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项目规模：对应勘察设计项目合同额不低于1000万元，或支撑的工程总投资额不低于5亿元；</w:t>
      </w:r>
    </w:p>
    <w:p w14:paraId="75D2CCB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效益指标：相较行业传统技术方案，项目直接勘察设计成本降低15％以上，或项目建设／勘察周期缩短20％以上，或带动企业同类技术新增合同额超3000万元；</w:t>
      </w:r>
    </w:p>
    <w:p w14:paraId="57F6485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行业价值：解决1项以上行业共性技术难题，填补细分领域技术空白，可推广至同类型3个以上场景。</w:t>
      </w:r>
    </w:p>
    <w:p w14:paraId="223CE740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数字智能创新</w:t>
      </w:r>
    </w:p>
    <w:p w14:paraId="0DC6D3F0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围绕勘察设计数字化工具研发、AI技术融合应用、智能建造落地、工业数智化转型等方向，革新生产模式，实现降本增效。</w:t>
      </w:r>
    </w:p>
    <w:p w14:paraId="6BB73711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：</w:t>
      </w:r>
    </w:p>
    <w:p w14:paraId="77409A53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工具平台类（自研BIM／AI／数字孪生平台等）：拥有自主知识产权的数字化平台／工具，取得软件著作权不少于3项或发明专利不少于1项；已在不少于5个工程项目中落地应用，项目全流程数字化交付率达100％（全流程数字化交付指包含几何信息、属性信息及关联文档的BIM模型交付，且符合行业相关交付标准）；应用项目平均设计周期缩短20％以上，人工成本降低15％以上，图纸错漏碰缺问题减少60％以上。</w:t>
      </w:r>
    </w:p>
    <w:p w14:paraId="63D326D2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工业数智化转型类（智能工厂、数字园区等设计项目）：项目为省级及以上智能工厂／数字化车间示范项目，或对标世界灯塔工厂标准建设；对应设计咨询合同额不低于2000万元；依托设计方案／咨询服务，支撑业主实现运营成本降低20％以上、生产效率提升25％以上、产品研发周期缩短30％以上。</w:t>
      </w:r>
    </w:p>
    <w:p w14:paraId="6D82C431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企业整体维度：数字化业务营收占企业总营收比例不低于20％，或数字化相关业务年复合增速不低于30％。</w:t>
      </w:r>
    </w:p>
    <w:p w14:paraId="2DE49FA7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3.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绿色低碳科创</w:t>
      </w:r>
    </w:p>
    <w:p w14:paraId="2C632276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：在绿色建筑、超低能耗／近零能耗建筑、零碳园区、工业节能降碳、生态修复减碳等领域形成成熟技术方案，实现显著节能降碳效益。</w:t>
      </w:r>
    </w:p>
    <w:p w14:paraId="2780EFD5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：</w:t>
      </w:r>
    </w:p>
    <w:p w14:paraId="777035EB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项目等级：获得绿色建筑三星级、近零能耗建筑、零碳园区认证，或达到对应国家／行业标准要求；</w:t>
      </w:r>
    </w:p>
    <w:p w14:paraId="59A4597B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项目规模：单体建筑面积不低于2万㎡，园区／片区类项目总建</w:t>
      </w:r>
      <w:r>
        <w:rPr>
          <w:rFonts w:hint="default" w:ascii="Times New Roman" w:hAnsi="Times New Roman" w:eastAsia="仿宋_GB2312" w:cs="Times New Roman"/>
          <w:spacing wpsCustomData:val="-6" w:val="1"/>
          <w:sz w:val="28"/>
          <w:szCs w:val="28"/>
        </w:rPr>
        <w:t>筑面积不低于</w:t>
      </w:r>
      <w:r>
        <w:rPr>
          <w:rFonts w:hint="default" w:ascii="Times New Roman" w:hAnsi="Times New Roman" w:eastAsia="仿宋_GB2312" w:cs="Times New Roman"/>
          <w:spacing wpsCustomData:val="-6" w:val="-6"/>
          <w:sz w:val="28"/>
          <w:szCs w:val="28"/>
        </w:rPr>
        <w:t>1</w:t>
      </w:r>
      <w:r>
        <w:rPr>
          <w:rFonts w:hint="default" w:ascii="Times New Roman" w:hAnsi="Times New Roman" w:eastAsia="仿宋_GB2312" w:cs="Times New Roman"/>
          <w:spacing wpsCustomData:val="-6" w:val="-39"/>
          <w:sz w:val="28"/>
          <w:szCs w:val="28"/>
        </w:rPr>
        <w:t>0</w:t>
      </w:r>
      <w:r>
        <w:rPr>
          <w:rFonts w:hint="default" w:ascii="Times New Roman" w:hAnsi="Times New Roman" w:eastAsia="仿宋_GB2312" w:cs="Times New Roman"/>
          <w:spacing wpsCustomData:val="-6" w:val="1"/>
          <w:sz w:val="28"/>
          <w:szCs w:val="28"/>
        </w:rPr>
        <w:t>万㎡</w:t>
      </w:r>
      <w:r>
        <w:rPr>
          <w:rFonts w:hint="default" w:ascii="Times New Roman" w:hAnsi="Times New Roman" w:eastAsia="仿宋_GB2312" w:cs="Times New Roman"/>
          <w:spacing wpsCustomData:val="-6" w:val="0"/>
          <w:sz w:val="28"/>
          <w:szCs w:val="28"/>
        </w:rPr>
        <w:t>，</w:t>
      </w:r>
      <w:r>
        <w:rPr>
          <w:rFonts w:hint="default" w:ascii="Times New Roman" w:hAnsi="Times New Roman" w:eastAsia="仿宋_GB2312" w:cs="Times New Roman"/>
          <w:spacing wpsCustomData:val="-6" w:val="1"/>
          <w:sz w:val="28"/>
          <w:szCs w:val="28"/>
        </w:rPr>
        <w:t>市</w:t>
      </w:r>
      <w:r>
        <w:rPr>
          <w:rFonts w:hint="default" w:ascii="Times New Roman" w:hAnsi="Times New Roman" w:eastAsia="仿宋_GB2312" w:cs="Times New Roman"/>
          <w:spacing wpsCustomData:val="-6" w:val="0"/>
          <w:sz w:val="28"/>
          <w:szCs w:val="28"/>
        </w:rPr>
        <w:t>政</w:t>
      </w:r>
      <w:r>
        <w:rPr>
          <w:rFonts w:hint="default" w:ascii="Times New Roman" w:hAnsi="Times New Roman" w:eastAsia="仿宋_GB2312" w:cs="Times New Roman"/>
          <w:spacing wpsCustomData:val="-6" w:val="1"/>
          <w:sz w:val="28"/>
          <w:szCs w:val="28"/>
        </w:rPr>
        <w:t>／工业类项目总投资不低于</w:t>
      </w:r>
      <w:r>
        <w:rPr>
          <w:rFonts w:hint="default" w:ascii="Times New Roman" w:hAnsi="Times New Roman" w:eastAsia="仿宋_GB2312" w:cs="Times New Roman"/>
          <w:spacing wpsCustomData:val="-6" w:val="-85"/>
          <w:sz w:val="28"/>
          <w:szCs w:val="28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亿元；</w:t>
      </w:r>
    </w:p>
    <w:p w14:paraId="5B5A6BBD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减碳节能：相较同类型常规项目，建筑运行能耗降低30％以上，或年碳减排量不低于2000吨CO₂当量，或可再生能源替代率不低于30％；</w:t>
      </w:r>
    </w:p>
    <w:p w14:paraId="2763B8BD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经济效益：对应设计咨询合同额不低于500万元，或带动绿色低碳相关新增业务合同额超2000万元。</w:t>
      </w:r>
    </w:p>
    <w:p w14:paraId="68F8EB95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4.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城市更新科创</w:t>
      </w:r>
    </w:p>
    <w:p w14:paraId="5B226B84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bookmarkStart w:id="0" w:name="_Toc7430"/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：在城市片区更新、工业厂区智能化改造、韧性城市建设、乡村振兴等场景中，形成创新技术模式与可复制实施路径。</w:t>
      </w:r>
    </w:p>
    <w:p w14:paraId="16E6EAEF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 w14:paraId="7B148C3F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项目规模：城市更新片区类项目规模不低于50公顷，或建筑改造面积不低于10万㎡；工业厂区改造项目投资额不低于5000万元；乡村振兴示范类项目覆盖行政村不少于3个；</w:t>
      </w:r>
    </w:p>
    <w:p w14:paraId="3F22423B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技术模式：形成可复制的更新技术体系，拥有相关专利／省级工法不少于2项；</w:t>
      </w:r>
    </w:p>
    <w:p w14:paraId="06077FE6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效益指标：项目改造后经第三方评估机构测算，资产价值提升20％以上，或在同等条件下溢价率高于周边同类项目，或运营能耗降低25％以上，或片区产业招商入驻率达80％以上；</w:t>
      </w:r>
    </w:p>
    <w:p w14:paraId="279E8DCB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示范属性：获评省级及以上城市更新、韧性城市、乡村振兴示范项目。</w:t>
      </w:r>
    </w:p>
    <w:p w14:paraId="697411D8">
      <w:pPr>
        <w:pStyle w:val="3"/>
        <w:pageBreakBefore w:val="0"/>
        <w:numPr>
          <w:ilvl w:val="0"/>
          <w:numId w:val="0"/>
        </w:numPr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（二）科技创新管理类</w:t>
      </w:r>
      <w:bookmarkEnd w:id="0"/>
    </w:p>
    <w:p w14:paraId="753ACC71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聚焦企业科创体系建设与管理机制创新，突出管理对业务转型、效益提升的驱动作用，下设2个细分方向。</w:t>
      </w:r>
    </w:p>
    <w:p w14:paraId="5581A869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科创管理促进产业转型升级</w:t>
      </w:r>
    </w:p>
    <w:p w14:paraId="67FB62D9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：通过科创平台管理、科研机制、人才激励、研</w:t>
      </w:r>
      <w:r>
        <w:rPr>
          <w:rFonts w:hint="default" w:ascii="Times New Roman" w:hAnsi="Times New Roman" w:eastAsia="仿宋_GB2312" w:cs="Times New Roman"/>
          <w:spacing wpsCustomData:val="-6" w:val="2"/>
          <w:sz w:val="28"/>
          <w:szCs w:val="28"/>
        </w:rPr>
        <w:t>发投入管理等制度创新，推动传统业务升级，培育新业态</w:t>
      </w:r>
      <w:r>
        <w:rPr>
          <w:rFonts w:hint="default" w:ascii="Times New Roman" w:hAnsi="Times New Roman" w:eastAsia="仿宋_GB2312" w:cs="Times New Roman"/>
          <w:spacing wpsCustomData:val="-6" w:val="-6"/>
          <w:sz w:val="28"/>
          <w:szCs w:val="28"/>
        </w:rPr>
        <w:t>新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模式。</w:t>
      </w:r>
    </w:p>
    <w:p w14:paraId="3EAB97CE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 w14:paraId="340750DC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机制建设：建立完善的科创管理制度、成果转化激励机制、科技人才引育体系，研发投入长效机制稳定运行；</w:t>
      </w:r>
    </w:p>
    <w:p w14:paraId="283D68FD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业务转型：近3年新业态（数字化服务、绿色低碳咨询、全过程咨询、EPC＋运营等）营收占比从低于10％提升至20％以上，或年复合增长率不低于25％；</w:t>
      </w:r>
    </w:p>
    <w:p w14:paraId="62B10434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降本增效：通过管理创新带动企业整体运营成本降低10％以上，人均勘察设计产值提升15％以上；</w:t>
      </w:r>
    </w:p>
    <w:p w14:paraId="41ED7883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市场拓展：依托科创能力新增细分赛道市场，3年内累计新增合同额超5亿元（综合甲级）／2亿元（行业甲级）／5000万元（专业乙级），市场占有率进入区域／细分行业前10位。</w:t>
      </w:r>
    </w:p>
    <w:p w14:paraId="26FC480B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科创平台与成果产出</w:t>
      </w:r>
    </w:p>
    <w:p w14:paraId="4A0CF566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" w:name="_Toc9668"/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（1）核心内涵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：依托各级科创平台开展科研攻关，形成丰富的知识产权、奖项、工法等成果，实现科创价值变现。</w:t>
      </w:r>
    </w:p>
    <w:p w14:paraId="331A9FD8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sz w:val="28"/>
          <w:szCs w:val="28"/>
        </w:rPr>
        <w:t>案例要求：</w:t>
      </w:r>
    </w:p>
    <w:p w14:paraId="1577953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平台层级：拥有至少1个省级及以上科技创新平台（重点实验室、工程技术研究中心、企业技术中心、院士工作站等），或2个及以上厅级科创平台；</w:t>
      </w:r>
    </w:p>
    <w:p w14:paraId="38736177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科研投入：近3年主持或承担省部级及以上科研课题不少于3项，年均研发课题专项投入不低于500万元；</w:t>
      </w:r>
    </w:p>
    <w:p w14:paraId="0791884C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成果储备：近3年累计获发明专利授权不少于5项，或实用新型专利／软件著作权累计不少于20项；</w:t>
      </w:r>
    </w:p>
    <w:p w14:paraId="2F2A7618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奖项荣誉：获评省级及以上工法不少于2项，或获省部级及以上勘察设计奖不少于3项；</w:t>
      </w:r>
    </w:p>
    <w:p w14:paraId="32713564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经济价值：科创平台年均直接带动新增业务合同额不低于3000万元，科技成果转化年均收益不低于500万元。</w:t>
      </w:r>
    </w:p>
    <w:p w14:paraId="0AAA09D3">
      <w:pPr>
        <w:pStyle w:val="3"/>
        <w:pageBreakBefore w:val="0"/>
        <w:numPr>
          <w:ilvl w:val="0"/>
          <w:numId w:val="0"/>
        </w:numPr>
        <w:tabs>
          <w:tab w:val="left" w:pos="14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</w:pPr>
      <w:r>
        <w:rPr>
          <w:rFonts w:hint="default" w:ascii="楷体" w:hAnsi="楷体" w:eastAsia="楷体" w:cs="楷体"/>
          <w:b/>
          <w:bCs/>
          <w:sz w:val="28"/>
          <w:szCs w:val="28"/>
          <w:lang w:eastAsia="zh-CN"/>
        </w:rPr>
        <w:t>（三）科技成果转化类</w:t>
      </w:r>
      <w:bookmarkEnd w:id="1"/>
    </w:p>
    <w:p w14:paraId="5F998F13">
      <w:pPr>
        <w:pStyle w:val="11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聚焦技术从实验室到工程应用的全链条转化，突出成果的规模化应用、市场化价值与产业带动效应，下设4个细分方向。</w:t>
      </w:r>
    </w:p>
    <w:p w14:paraId="6B658967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技术成果落地转化</w:t>
      </w:r>
    </w:p>
    <w:p w14:paraId="01A487C6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color w:val="auto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：完成实验室技术向工程化应用的转化，形成成熟产品、工艺或标准化服务，实现规模化落地。</w:t>
      </w:r>
    </w:p>
    <w:p w14:paraId="4EA5EA33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b/>
          <w:sz w:val="28"/>
          <w:szCs w:val="28"/>
        </w:rPr>
        <w:t>：</w:t>
      </w:r>
    </w:p>
    <w:p w14:paraId="6F8CF54A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成熟度：技术成果完成中试验证，形成标准化产品／工艺／服务包，具备工程化批量应用条件；</w:t>
      </w:r>
    </w:p>
    <w:p w14:paraId="0DF227E2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应用规模：已在不少于5个工程项目中规模化应用，或累计应用项目对应的成果转化合同总额不低于500万元；</w:t>
      </w:r>
    </w:p>
    <w:p w14:paraId="4C5E437F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经济效益：成果转化相关业务近3年累计营收不低于2000万元，或技术服务毛利率不低于35％（软件／产品类）或30％（咨询／服务类）；</w:t>
      </w:r>
    </w:p>
    <w:p w14:paraId="3115F019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替代价值：可替代进口技术／产品，或相较传统方案综合成本降低20％以上。</w:t>
      </w:r>
    </w:p>
    <w:p w14:paraId="401DE5E5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成果转化与标准创新</w:t>
      </w:r>
    </w:p>
    <w:p w14:paraId="46AC4BB9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：技术落地成效显著，通过标准研制固化成果，实现行业推广与国际化输出。</w:t>
      </w:r>
    </w:p>
    <w:p w14:paraId="23D230D6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 w14:paraId="4F8C0955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标准编制：近3年以第一单位主持编制国际标准1项，或国家标准／行业标准不少于2项，或团体／地方标准不少于3项；</w:t>
      </w:r>
    </w:p>
    <w:p w14:paraId="6C6C935F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行业推广：技术成果被纳入省部级及以上行业技术推广目录，在行业内10家以上单位得到应用；</w:t>
      </w:r>
    </w:p>
    <w:p w14:paraId="657146B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输出效益：累计对外技术许可、技术服务输出营收不低于1000万元；实现海外工程应用的，对外技术输出合同额累计超500万元。</w:t>
      </w:r>
    </w:p>
    <w:p w14:paraId="4720AF6C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3.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产学研协同转化</w:t>
      </w:r>
    </w:p>
    <w:p w14:paraId="353E63DC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：与高校、科研院所建立稳定合作机制，联合开展技术研发与成果转化，带动产业链协同发展。</w:t>
      </w:r>
    </w:p>
    <w:p w14:paraId="7670E87B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 w14:paraId="3D3E1C4A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合作机制：与至少2所双一流高校／国家级科研院所建立3年以上稳定合作，共建联合实验室／研发中心等实体合作平台；</w:t>
      </w:r>
    </w:p>
    <w:p w14:paraId="0C1605FA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协同成果：合作研发项目不少于5项，共同申请发明专利不少于3项，联合获得省部级及以上科技奖项不少于1项；</w:t>
      </w:r>
    </w:p>
    <w:p w14:paraId="7CF4B80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产业带动：成果转化带动产业链上下游不少于10家配套企业发展，累计带动配套产业新增产值超1亿元；</w:t>
      </w:r>
    </w:p>
    <w:p w14:paraId="255ADD44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模式示范：形成可复制的产学研合作模式，获评省级及以上产学研合作示范项目／单位。</w:t>
      </w:r>
    </w:p>
    <w:p w14:paraId="002CBADA">
      <w:pPr>
        <w:pStyle w:val="4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4.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技术推广与市场化</w:t>
      </w:r>
    </w:p>
    <w:p w14:paraId="72A7A72A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（1）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核心内涵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：通过技术转让、许可、合作等市场化方式，实现技术成果的跨企业、跨区域推广。</w:t>
      </w:r>
    </w:p>
    <w:p w14:paraId="1EBEA66B">
      <w:pPr>
        <w:pStyle w:val="11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hint="default" w:ascii="Times New Roman" w:hAnsi="Times New Roman" w:eastAsia="仿宋_GB2312" w:cs="Times New Roman"/>
          <w:b w:val="0"/>
          <w:sz w:val="28"/>
          <w:szCs w:val="28"/>
        </w:rPr>
      </w:pPr>
      <w:r>
        <w:rPr>
          <w:rStyle w:val="21"/>
          <w:rFonts w:hint="default" w:ascii="Times New Roman" w:hAnsi="Times New Roman" w:eastAsia="仿宋_GB2312" w:cs="Times New Roman"/>
          <w:sz w:val="28"/>
          <w:szCs w:val="28"/>
          <w:lang w:eastAsia="zh-CN"/>
        </w:rPr>
        <w:t>（2）</w:t>
      </w:r>
      <w:r>
        <w:rPr>
          <w:rStyle w:val="21"/>
          <w:rFonts w:hint="default" w:ascii="Times New Roman" w:hAnsi="Times New Roman" w:eastAsia="仿宋_GB2312" w:cs="Times New Roman"/>
          <w:sz w:val="28"/>
          <w:szCs w:val="28"/>
        </w:rPr>
        <w:t>案例要求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：</w:t>
      </w:r>
    </w:p>
    <w:p w14:paraId="52265FB9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推广模式：通过技术转让、许可使用、特许经营、合资合作等至少2种模式实现市场化推广；</w:t>
      </w:r>
    </w:p>
    <w:p w14:paraId="49B6215E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覆盖范围：技术成果应用覆盖不少于3个省级行政区，或进入至少1个海外市场；</w:t>
      </w:r>
    </w:p>
    <w:p w14:paraId="6144F04A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收益规模：近3年技术转让、许可及相关服务累计收入不低于800万元，年均增速不低于25％；</w:t>
      </w:r>
    </w:p>
    <w:p w14:paraId="08227679">
      <w:pPr>
        <w:pStyle w:val="1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0" w:hanging="420" w:firstLineChars="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市场认可：相关技术／服务在细分领域市场占有率位居前20％，业主用户满意度达90％以上。</w:t>
      </w:r>
    </w:p>
    <w:p w14:paraId="4D4A121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587" w:right="1587" w:bottom="1587" w:left="1587" w:header="851" w:footer="578" w:gutter="0"/>
      <w:pgNumType w:fmt="decimal" w:start="1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16C6F6D-18E8-4380-8816-41B8151293E4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9556DE8-26A8-49B5-8400-9D6D8C445FA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  <w:embedRegular r:id="rId3" w:fontKey="{DC62CA8B-7D0A-4A2E-A1CB-83BB654F1116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BDE044A-524A-49F7-9528-9277C9B96AE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B8F95F4-8EB6-431B-A6CD-F340B8D0F4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28CF0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/>
      <w:topLinePunct w:val="0"/>
      <w:bidi w:val="0"/>
      <w:adjustRightInd/>
      <w:snapToGrid/>
      <w:spacing w:after="0" w:line="1152" w:lineRule="exact"/>
      <w:textAlignment w:val="auto"/>
      <w:rPr>
        <w:rFonts w:ascii="方正仿宋_GB2312" w:hAnsi="方正仿宋_GB2312" w:eastAsia="方正仿宋_GB2312" w:cs="Times New Roman"/>
        <w:spacing w:val="-6"/>
        <w:sz w:val="32"/>
        <w:szCs w:val="3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65960">
    <w:pPr>
      <w:tabs>
        <w:tab w:val="center" w:pos="4153"/>
        <w:tab w:val="right" w:pos="8306"/>
      </w:tabs>
      <w:spacing w:after="0" w:afterLines="220" w:line="432" w:lineRule="auto"/>
      <w:rPr>
        <w:rFonts w:ascii="RomanS" w:hAnsi="方正仿宋_GB2312" w:eastAsia="宋体" w:cs="Times New Roman"/>
        <w:spacing w:val="-6"/>
        <w:sz w:val="28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62AE7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/>
      <w:topLinePunct w:val="0"/>
      <w:bidi w:val="0"/>
      <w:adjustRightInd/>
      <w:snapToGrid/>
      <w:spacing w:after="0" w:afterLines="50" w:line="160" w:lineRule="exact"/>
      <w:textAlignment w:val="auto"/>
      <w:rPr>
        <w:rFonts w:ascii="方正仿宋_GB2312" w:hAnsi="方正仿宋_GB2312" w:eastAsia="方正仿宋_GB2312" w:cs="Times New Roman"/>
        <w:spacing w:val="-6"/>
        <w:sz w:val="32"/>
        <w:szCs w:val="32"/>
      </w:rPr>
    </w:pPr>
  </w:p>
  <w:p w14:paraId="0D9C711D">
    <w:pPr>
      <w:keepNext w:val="0"/>
      <w:keepLines w:val="0"/>
      <w:pageBreakBefore w:val="0"/>
      <w:widowControl w:val="0"/>
      <w:tabs>
        <w:tab w:val="center" w:pos="4153"/>
        <w:tab w:val="right" w:pos="8306"/>
      </w:tabs>
      <w:kinsoku/>
      <w:wordWrap/>
      <w:overflowPunct/>
      <w:topLinePunct w:val="0"/>
      <w:bidi w:val="0"/>
      <w:adjustRightInd/>
      <w:snapToGrid/>
      <w:spacing w:after="0" w:afterLines="50" w:line="160" w:lineRule="exact"/>
      <w:textAlignment w:val="auto"/>
      <w:rPr>
        <w:rFonts w:ascii="方正仿宋_GB2312" w:hAnsi="方正仿宋_GB2312" w:eastAsia="方正仿宋_GB2312" w:cs="Times New Roman"/>
        <w:spacing w:val="-6"/>
        <w:sz w:val="32"/>
        <w:szCs w:val="3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7154CB"/>
    <w:multiLevelType w:val="singleLevel"/>
    <w:tmpl w:val="947154C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F167FE"/>
    <w:rsid w:val="04AF15D9"/>
    <w:rsid w:val="07B2009E"/>
    <w:rsid w:val="0B5557B1"/>
    <w:rsid w:val="1AD01AC6"/>
    <w:rsid w:val="1AF167FE"/>
    <w:rsid w:val="23A3249A"/>
    <w:rsid w:val="4BEF7421"/>
    <w:rsid w:val="605F06F4"/>
    <w:rsid w:val="62F9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</w:rPr>
  </w:style>
  <w:style w:type="paragraph" w:styleId="4">
    <w:name w:val="heading 3"/>
    <w:next w:val="1"/>
    <w:link w:val="20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</w:rPr>
  </w:style>
  <w:style w:type="paragraph" w:styleId="5">
    <w:name w:val="heading 4"/>
    <w:next w:val="1"/>
    <w:link w:val="2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方正仿宋_GB2312" w:cs="方正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8">
    <w:name w:val="（新）正文"/>
    <w:basedOn w:val="1"/>
    <w:qFormat/>
    <w:uiPriority w:val="0"/>
    <w:pPr>
      <w:spacing w:line="600" w:lineRule="exact"/>
      <w:ind w:firstLine="640" w:firstLineChars="200"/>
    </w:pPr>
    <w:rPr>
      <w:rFonts w:ascii="Times New Roman" w:hAnsi="Times New Roman" w:eastAsia="方正仿宋_GB2312" w:cs="Times New Roman"/>
      <w:sz w:val="32"/>
      <w:szCs w:val="32"/>
    </w:rPr>
  </w:style>
  <w:style w:type="paragraph" w:customStyle="1" w:styleId="19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Theme="minorHAnsi" w:hAnsiTheme="minorHAnsi" w:eastAsiaTheme="minorEastAsia" w:cstheme="minorBidi"/>
    </w:rPr>
  </w:style>
  <w:style w:type="character" w:customStyle="1" w:styleId="20">
    <w:name w:val="标题 3 Char"/>
    <w:link w:val="4"/>
    <w:qFormat/>
    <w:uiPriority w:val="0"/>
    <w:rPr>
      <w:rFonts w:ascii="Times New Roman" w:hAnsi="Times New Roman" w:eastAsia="方正仿宋_GB2312" w:cs="方正仿宋_GB2312"/>
      <w:sz w:val="32"/>
      <w:szCs w:val="32"/>
    </w:rPr>
  </w:style>
  <w:style w:type="character" w:customStyle="1" w:styleId="21">
    <w:name w:val="标题 4 Char"/>
    <w:link w:val="5"/>
    <w:qFormat/>
    <w:uiPriority w:val="0"/>
    <w:rPr>
      <w:rFonts w:ascii="Times New Roman" w:hAnsi="Times New Roman" w:eastAsia="方正仿宋_GB2312" w:cs="方正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2182</Words>
  <Characters>2251</Characters>
  <Lines>0</Lines>
  <Paragraphs>0</Paragraphs>
  <TotalTime>16</TotalTime>
  <ScaleCrop>false</ScaleCrop>
  <LinksUpToDate>false</LinksUpToDate>
  <CharactersWithSpaces>2259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2026-08-02T14:57:00Z</dcterms:created>
  <dc:creator>许传刚</dc:creator>
  <cp:lastModifiedBy>巩伟平</cp:lastModifiedBy>
  <cp:lastPrinted>2026-08-05T05:50:35Z</cp:lastPrinted>
  <dcterms:modified xsi:type="dcterms:W3CDTF">2026-08-05T06:55:52Z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ABA8DFE1E7E8430FB2BE5F43C7660F5F_13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